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宋体" w:cs="Times New Roman"/>
          <w:szCs w:val="22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0"/>
        <w:tblpPr w:leftFromText="180" w:rightFromText="180" w:vertAnchor="text" w:horzAnchor="page" w:tblpX="1125" w:tblpY="253"/>
        <w:tblOverlap w:val="never"/>
        <w:tblW w:w="141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3"/>
        <w:gridCol w:w="940"/>
        <w:gridCol w:w="11090"/>
        <w:gridCol w:w="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323" w:type="dxa"/>
            <w:vMerge w:val="restart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过程与活动、抽样计划</w:t>
            </w:r>
          </w:p>
        </w:tc>
        <w:tc>
          <w:tcPr>
            <w:tcW w:w="940" w:type="dxa"/>
            <w:vMerge w:val="restart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涉及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条款</w:t>
            </w:r>
          </w:p>
        </w:tc>
        <w:tc>
          <w:tcPr>
            <w:tcW w:w="11090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受审核部门：生产部   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主管领导：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唐浪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  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3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  <w:tc>
          <w:tcPr>
            <w:tcW w:w="94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  <w:tc>
          <w:tcPr>
            <w:tcW w:w="11090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审核员：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宋明珠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郭力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审核时间：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2020.7.12</w:t>
            </w:r>
          </w:p>
        </w:tc>
        <w:tc>
          <w:tcPr>
            <w:tcW w:w="760" w:type="dxa"/>
            <w:vMerge w:val="continue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23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  <w:tc>
          <w:tcPr>
            <w:tcW w:w="940" w:type="dxa"/>
            <w:vMerge w:val="continue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  <w:tc>
          <w:tcPr>
            <w:tcW w:w="11090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审核条款：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Q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5.3/6.2/7.1.3/7.1.4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8.5.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/8.5.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/8.5.6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E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5.3/6.2/8.2</w:t>
            </w:r>
          </w:p>
        </w:tc>
        <w:tc>
          <w:tcPr>
            <w:tcW w:w="760" w:type="dxa"/>
            <w:vMerge w:val="continue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23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职责权限、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Q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E：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5.3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  <w:p>
            <w:pP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  </w:t>
            </w:r>
          </w:p>
        </w:tc>
        <w:tc>
          <w:tcPr>
            <w:tcW w:w="1109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生产部负责人：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唐浪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主要负责制定生产计划，组织安排生产，生产设备的管理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及生产过程危险源识别控制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。本部门的职责和权限清楚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询问主要职责：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◆负责顾客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技术资料及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图纸的接收确认，顾客财产的管理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，样品制作等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； 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协助参与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合同评审和供方评价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负责投标书技术部分的编写；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◆负责生产计划制定，并确保生产的正常运行和生产计划的达成；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◆负责生产设备设施的维修和保养等综合管理；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◆负责生产现场的物料、区域、产品的标识；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◆配合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营销中心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做好顾客满意度调查；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◆在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行政人事部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组织下，对本部门管理体系的运行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进行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控制（废弃物管理、危险化学品管理、能源资源控制等），负责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本部门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应急事项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管理；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◆在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行政人事部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组织下，做好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本部门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危险源、环境因素的识别和评价工作；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◆配合公司管理目标指标的制订与管理方案的执行；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◆对本部门相关环境安全管理缺陷采取纠正与预防措施；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◆负责对安全文明生产操作、环境保护、管理体系运行等进行监控；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◆负责来料检查、工序巡检，半成品及成品检验，对质量工作提供保证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◆负责组织本部门进行环境因素和危险源的识别、评价、跟踪和更新；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 xml:space="preserve">◆做好本部门质量、环境和职业健康安全的管理工作； 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◆负责本部门的合规义务评审工作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◆负责组织本部门进行环境因素和危险源的识别、评价、跟踪和更新；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◆完成公司领导交办的其它各项工作。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部门职责清晰、明确。生产部负责人能基本阐述本部门的主要职责。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6" w:hRule="atLeast"/>
        </w:trPr>
        <w:tc>
          <w:tcPr>
            <w:tcW w:w="1323" w:type="dxa"/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目标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QE6.2</w:t>
            </w:r>
          </w:p>
        </w:tc>
        <w:tc>
          <w:tcPr>
            <w:tcW w:w="11090" w:type="dxa"/>
            <w:noWrap w:val="0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部门的质量目标：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       计算方式                                   结果             </w:t>
            </w:r>
          </w:p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成品一次交验合格率≥98%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成品一次交验合格数/成品交验总数×100%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100%</w:t>
            </w:r>
          </w:p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固废分类回收率100%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分类次数/总处理次数×100%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         100%</w:t>
            </w:r>
          </w:p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火灾事故为零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ab/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以实际发生为准进行计数。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 xml:space="preserve">                         0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•环境目标、指标：噪声达标排放昼间≤65dB,夜间≤55dB。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措施：各设备都安装减震、隔音设施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完成时间：2019.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2020.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12 费用：4000元 责任部门：生产部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•环境目标、指标：对废气排放总量的控制排放符合总量控制指标。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措施：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焊烟净化器、布袋除尘、烟冲、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佩戴劳保用品，道路硬化，植树...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完成时间：2019.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2020.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12 费用：5000元 责任部门：生产部/办公室</w:t>
            </w:r>
          </w:p>
          <w:p>
            <w:pP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火灾事故为零</w:t>
            </w:r>
            <w:r>
              <w:rPr>
                <w:rFonts w:hint="eastAsia" w:ascii="Times New Roman" w:hAnsi="Times New Roman" w:eastAsia="宋体" w:cs="Times New Roman"/>
                <w:szCs w:val="22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固废分类回收率100%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管理方案同办公室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完成时间2019.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-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2020.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12 费用：3000万元 责任部门：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生产部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等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每季度组织一次对目标、指标管理方案进行程度、完成情况的考核，提供安全目标、指标考核记录，2019年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季度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及2020年1季度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的目标、指标管理方案完成情况考核，达到了阶段性的目标要求。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</w:rPr>
              <w:t>制定的指标和管理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方案基本可行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。</w:t>
            </w:r>
          </w:p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  <w:tc>
          <w:tcPr>
            <w:tcW w:w="76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323" w:type="dxa"/>
            <w:noWrap w:val="0"/>
            <w:vAlign w:val="center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基础设施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监视和测量资源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  <w:p>
            <w:pPr>
              <w:spacing w:line="360" w:lineRule="auto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 xml:space="preserve">Q7.1.3 </w:t>
            </w:r>
          </w:p>
          <w:p>
            <w:pPr>
              <w:rPr>
                <w:rFonts w:hint="default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7.1.5</w:t>
            </w:r>
          </w:p>
          <w:p>
            <w:pPr>
              <w:pStyle w:val="2"/>
              <w:ind w:right="48" w:rightChars="0"/>
              <w:rPr>
                <w:rFonts w:hint="eastAsia"/>
                <w:lang w:val="en-US" w:eastAsia="zh-CN"/>
              </w:rPr>
            </w:pPr>
          </w:p>
        </w:tc>
        <w:tc>
          <w:tcPr>
            <w:tcW w:w="1109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在质量手册中对基础设施的维护进行了规定，查见了《电脑管理制度》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、《理化实验室仪器设备管理制度》等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现场审核基础设施主要包括：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建筑物、工作场所：重庆市合川区南津街道岩渠路68号A栋，是租赁</w:t>
            </w:r>
            <w:r>
              <w:rPr>
                <w:sz w:val="21"/>
                <w:szCs w:val="21"/>
              </w:rPr>
              <w:t>重庆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西</w:t>
            </w:r>
            <w:r>
              <w:rPr>
                <w:sz w:val="21"/>
                <w:szCs w:val="21"/>
              </w:rPr>
              <w:t>美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仪器</w:t>
            </w:r>
            <w:r>
              <w:rPr>
                <w:sz w:val="21"/>
                <w:szCs w:val="21"/>
              </w:rPr>
              <w:t>仪表有限公司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内办公室，面积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1500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平方米，用于办公和检测用。</w:t>
            </w:r>
          </w:p>
          <w:p>
            <w:pPr>
              <w:pStyle w:val="2"/>
              <w:keepNext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2370944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60960</wp:posOffset>
                  </wp:positionV>
                  <wp:extent cx="2023110" cy="2866390"/>
                  <wp:effectExtent l="0" t="0" r="8890" b="3810"/>
                  <wp:wrapNone/>
                  <wp:docPr id="37" name="图片 37" descr="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0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110" cy="286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2368896" behindDoc="0" locked="0" layoutInCell="1" allowOverlap="1">
                  <wp:simplePos x="0" y="0"/>
                  <wp:positionH relativeFrom="column">
                    <wp:posOffset>2203450</wp:posOffset>
                  </wp:positionH>
                  <wp:positionV relativeFrom="paragraph">
                    <wp:posOffset>82550</wp:posOffset>
                  </wp:positionV>
                  <wp:extent cx="2272030" cy="2885440"/>
                  <wp:effectExtent l="0" t="0" r="1270" b="10160"/>
                  <wp:wrapSquare wrapText="bothSides"/>
                  <wp:docPr id="35" name="图片 35" descr="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0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030" cy="288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drawing>
                <wp:anchor distT="0" distB="0" distL="114300" distR="114300" simplePos="0" relativeHeight="252369920" behindDoc="0" locked="0" layoutInCell="1" allowOverlap="1">
                  <wp:simplePos x="0" y="0"/>
                  <wp:positionH relativeFrom="column">
                    <wp:posOffset>4705350</wp:posOffset>
                  </wp:positionH>
                  <wp:positionV relativeFrom="paragraph">
                    <wp:posOffset>63500</wp:posOffset>
                  </wp:positionV>
                  <wp:extent cx="2256790" cy="2900680"/>
                  <wp:effectExtent l="0" t="0" r="3810" b="7620"/>
                  <wp:wrapSquare wrapText="bothSides"/>
                  <wp:docPr id="36" name="图片 36" descr="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0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790" cy="290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rPr>
                <w:rFonts w:hint="eastAsia"/>
                <w:lang w:val="en-US" w:eastAsia="zh-CN"/>
              </w:rPr>
            </w:pPr>
          </w:p>
          <w:p>
            <w:pPr>
              <w:pStyle w:val="3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2)办公设备：公司根据的需要，配备了行政办公用房及通讯、信息系统等基础设施， 并配备有办公桌椅，水电、空调、会议室、消防设施设备，并有电脑、打印机、电话、传真机、复印机等办公设备；满足办公需要。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公司建立确定、提供和维护其运行和确保产品、服务符合性和顾客满意所需的基础设施。包括办公场所和相关的硬件设施、设备（包括硬件和软件）、运输、通讯和信息系统等。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查看《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设备一览表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用于计量检测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设备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监测资源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有：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游标卡尺、投影仪等设备。</w:t>
            </w:r>
          </w:p>
          <w:p>
            <w:pPr>
              <w:spacing w:line="360" w:lineRule="auto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仪器设备能够满足所从事的校准/检测/检定工作范围内对资源的要求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提供检定（校准）合格证书（见相关证据），均按规定和时间间隔要求溯源管理。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  <w:lang w:eastAsia="zh-CN"/>
              </w:rPr>
              <w:drawing>
                <wp:anchor distT="0" distB="0" distL="114300" distR="114300" simplePos="0" relativeHeight="25237196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71120</wp:posOffset>
                  </wp:positionV>
                  <wp:extent cx="2419985" cy="3026410"/>
                  <wp:effectExtent l="0" t="0" r="5715" b="8890"/>
                  <wp:wrapNone/>
                  <wp:docPr id="38" name="图片 38" descr="4ac7d7554c0f01b3b201af7453576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 descr="4ac7d7554c0f01b3b201af7453576e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985" cy="302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环保设施包括：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空气净化器、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垃圾桶、消防设施；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安全设施配置主要有：标识牌、灭火器、消防器材等，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专业计量室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定期维护与保养。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见：依照计划进行设备设施的升级、维护、更换、配备，相关设施配备和管理比较完善。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）查设备保养：负责人介绍了设备管理相关要求，提供了《设备保养维修记录》，日期：20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均能按计划进行保养。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）查特种设备： 经确认，目前无特种设备。</w:t>
            </w:r>
          </w:p>
          <w:p>
            <w:pPr>
              <w:spacing w:line="360" w:lineRule="auto"/>
              <w:ind w:left="420" w:leftChars="0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基础设施管理基本可以满足公司目前体系运行的需要。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1323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过程运行环境</w:t>
            </w: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 w:ascii="宋体" w:hAnsi="宋体" w:cs="宋体"/>
                <w:szCs w:val="21"/>
                <w:lang w:bidi="ar"/>
              </w:rPr>
            </w:pPr>
          </w:p>
          <w:p>
            <w:pPr>
              <w:tabs>
                <w:tab w:val="center" w:pos="3169"/>
              </w:tabs>
              <w:spacing w:line="400" w:lineRule="exact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940" w:type="dxa"/>
            <w:noWrap w:val="0"/>
            <w:vAlign w:val="top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Q</w:t>
            </w:r>
            <w:r>
              <w:rPr>
                <w:rFonts w:ascii="楷体" w:hAnsi="楷体" w:eastAsia="楷体"/>
                <w:sz w:val="24"/>
                <w:szCs w:val="24"/>
              </w:rPr>
              <w:t>7.1.</w:t>
            </w:r>
            <w:r>
              <w:rPr>
                <w:rFonts w:hint="eastAsia" w:ascii="楷体" w:hAnsi="楷体" w:eastAsia="楷体" w:cs="Arial"/>
                <w:sz w:val="24"/>
                <w:szCs w:val="24"/>
                <w:lang w:val="en-US" w:eastAsia="zh-CN"/>
              </w:rPr>
              <w:t>4</w:t>
            </w:r>
          </w:p>
          <w:p>
            <w:pPr>
              <w:spacing w:line="360" w:lineRule="auto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 w:cs="Arial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109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1）设备检测的技术管理、</w:t>
            </w:r>
            <w:r>
              <w:rPr>
                <w:rFonts w:hint="eastAsia"/>
              </w:rPr>
              <w:t>研发和办公过程对环境要求一般，无特殊要求，办公室环境卫生较好。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视频</w:t>
            </w:r>
            <w:r>
              <w:rPr>
                <w:rFonts w:hint="eastAsia"/>
              </w:rPr>
              <w:t>巡视：办公环境光照、温度适宜，通风良好，电路布线合理、电气插座完整，未见破损，办公场所物品摆放整齐、有序，未见随意乱放私人物品的情况，未见用电不当等安全隐患及不良影响现象。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2）检测过程对环境要求有要求，采用空调控制温度，企业确定并提供了检测要求所需的工作环境，工作环境适宜，对环境温度、湿度进行监控现有工作环境能满足检测的需要。</w:t>
            </w:r>
          </w:p>
          <w:p>
            <w:pPr>
              <w:pStyle w:val="3"/>
              <w:ind w:left="0" w:leftChars="0" w:firstLine="0" w:firstLineChars="0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3）为满足国家规范标准的要求、顾客要求、管理体系的要求、过程控制要求及公司内部管理的要求，公司要确定、提供和维护其运行和确保产品、服务符合性和顾客满意所需的过程环境，包括温度、照明、个人情感、卫生等物理的、社会的、心理的和环境的因素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23" w:type="dxa"/>
            <w:noWrap w:val="0"/>
            <w:vAlign w:val="center"/>
          </w:tcPr>
          <w:p>
            <w:pPr>
              <w:rPr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应急准备和响应</w:t>
            </w:r>
          </w:p>
        </w:tc>
        <w:tc>
          <w:tcPr>
            <w:tcW w:w="940" w:type="dxa"/>
            <w:noWrap w:val="0"/>
            <w:vAlign w:val="center"/>
          </w:tcPr>
          <w:p>
            <w:pPr>
              <w:rPr>
                <w:rFonts w:hint="default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E8.2</w:t>
            </w:r>
          </w:p>
        </w:tc>
        <w:tc>
          <w:tcPr>
            <w:tcW w:w="11090" w:type="dxa"/>
            <w:noWrap w:val="0"/>
            <w:vAlign w:val="center"/>
          </w:tcPr>
          <w:p>
            <w:pPr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查策划有《应急准备与响应控制程序》，编制有《应急预案汇编》，包括《火灾事故应急预案》、《触电故应急预案》、《机械伤害应急预案》等。</w:t>
            </w:r>
          </w:p>
          <w:p>
            <w:pPr>
              <w:spacing w:line="24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提供有2020年1月5日发布《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应急救援预案》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：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——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如果负伤者伤势较严重，应采取以下急救方法：止血；包扎；救运。</w:t>
            </w:r>
          </w:p>
          <w:p>
            <w:pPr>
              <w:spacing w:line="240" w:lineRule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——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火灾逃生与救护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火灾的发生带有偶然性和突发性；从火灾中救人的方法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。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lang w:val="zh-CN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——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触电事故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                              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zh-CN" w:eastAsia="zh-CN"/>
              </w:rPr>
              <w:t>：脱离电源；帮助触电者脱离电源的方法；现场急救方法。</w:t>
            </w:r>
          </w:p>
          <w:p>
            <w:pPr>
              <w:spacing w:line="240" w:lineRule="auto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另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，2020年3月20日，生产部参加了公司组织消防演练，相关记录详见火灾应急预案演练记录记录。</w:t>
            </w:r>
          </w:p>
          <w:p>
            <w:pPr>
              <w:spacing w:line="240" w:lineRule="auto"/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车间配置有灭火器等消防设施。</w:t>
            </w:r>
          </w:p>
        </w:tc>
        <w:tc>
          <w:tcPr>
            <w:tcW w:w="760" w:type="dxa"/>
            <w:noWrap w:val="0"/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23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>产品标识和可追朔性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Q8.5.2</w:t>
            </w:r>
          </w:p>
        </w:tc>
        <w:tc>
          <w:tcPr>
            <w:tcW w:w="11090" w:type="dxa"/>
            <w:noWrap w:val="0"/>
            <w:vAlign w:val="top"/>
          </w:tcPr>
          <w:p>
            <w:pPr>
              <w:spacing w:line="360" w:lineRule="auto"/>
              <w:ind w:firstLine="315" w:firstLineChars="15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在《管理手册》中规定公司向顾客提供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检测报告</w:t>
            </w:r>
            <w:r>
              <w:rPr>
                <w:rFonts w:hint="eastAsia"/>
                <w:color w:val="000000" w:themeColor="text1"/>
              </w:rPr>
              <w:t>时采取适当措施，确保商品进入经营场所到销售过程中均被明确标识，对产品施加唯一性标识，如</w:t>
            </w:r>
            <w:r>
              <w:rPr>
                <w:rFonts w:hint="eastAsia"/>
                <w:color w:val="000000" w:themeColor="text1"/>
                <w:lang w:val="en-US" w:eastAsia="zh-CN"/>
              </w:rPr>
              <w:t>计量器具名称</w:t>
            </w:r>
            <w:r>
              <w:rPr>
                <w:rFonts w:hint="eastAsia"/>
                <w:color w:val="000000" w:themeColor="text1"/>
              </w:rPr>
              <w:t>、编号、日期，并予以登记，保留实现可追溯性所需的记录。产品通常保留厂家标签、合格证等方式对产品进行标识，产品附有“合格证”有产品名称、型号、日期、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</w:rPr>
              <w:t>人员代号等信息，可作为追溯性标识，同时可根据采购合同、销售合同，入厂检验记录等进行追溯。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 w:themeColor="text1"/>
              </w:rPr>
              <w:t>经现场查验标识齐全、清晰、正确，产品标识管理基本符合标准要求，并满足实际需要。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23" w:type="dxa"/>
            <w:noWrap w:val="0"/>
            <w:vAlign w:val="center"/>
          </w:tcPr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产品防护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Q8.5.4 </w:t>
            </w:r>
          </w:p>
        </w:tc>
        <w:tc>
          <w:tcPr>
            <w:tcW w:w="11090" w:type="dxa"/>
            <w:noWrap w:val="0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公司对产品搬运、包装、贮存、运输以及交付等过程的防护实施控制：</w:t>
            </w:r>
          </w:p>
          <w:p>
            <w:pPr>
              <w:tabs>
                <w:tab w:val="left" w:pos="6597"/>
              </w:tabs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1、搬运：配置适宜的搬运工具，采用合理的搬运方法，对易损、危险物品制定专门的搬运指导书，搬运人员按要求执行，做好产品防护，防止丢失和损坏。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2、包装：包装人员核对产品合格证，保持产品外观清洁、完整，按装箱单核对装箱产品，包装后进行正确标识。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3、贮存：规范仓库管理，保持安全适宜的贮存环境，先进先出，建立台账，定期盘点，经常查看库存物品。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4、运输：用防震材料添紧，避免相互碰撞造成破损，对运输供方进行合格评定，签订运输合同，保证产品运输质量，并对运输质量进行记录，跟踪监督。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5、交付：产品交付防护延续到交付的目的地。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公司自体系运行以来，未发生由于产品防护不当导致产品质量事故的情况，防护措施能够满足要求。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现场产品防护能够按照策划的要求实施，满足策划的要求。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spacing w:line="360" w:lineRule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1323" w:type="dxa"/>
            <w:noWrap w:val="0"/>
            <w:vAlign w:val="top"/>
          </w:tcPr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更改控制</w:t>
            </w:r>
          </w:p>
        </w:tc>
        <w:tc>
          <w:tcPr>
            <w:tcW w:w="940" w:type="dxa"/>
            <w:noWrap w:val="0"/>
            <w:vAlign w:val="top"/>
          </w:tcPr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</w:pPr>
          </w:p>
          <w:p>
            <w:pPr>
              <w:tabs>
                <w:tab w:val="left" w:pos="6597"/>
              </w:tabs>
              <w:spacing w:line="360" w:lineRule="auto"/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  <w:t>Q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8.5.6</w:t>
            </w:r>
          </w:p>
        </w:tc>
        <w:tc>
          <w:tcPr>
            <w:tcW w:w="11090" w:type="dxa"/>
            <w:noWrap w:val="0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对于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过程的更改，公司规定通过《通知单》的形式重新下达。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过程的更改指令，若涉及到交付时间更改，均有对应的合同更改评审记录，本部门再次通过《通知单》下达。更改的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指令由本部门负责人签发。经查目前无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</w:rPr>
              <w:t>过程的更改。</w:t>
            </w:r>
          </w:p>
        </w:tc>
        <w:tc>
          <w:tcPr>
            <w:tcW w:w="760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8"/>
        <w:ind w:firstLine="6120" w:firstLineChars="1700"/>
        <w:rPr>
          <w:rFonts w:hint="eastAsia" w:ascii="隶书" w:hAnsi="宋体" w:eastAsia="隶书"/>
          <w:bCs/>
          <w:color w:val="000000"/>
          <w:sz w:val="36"/>
          <w:szCs w:val="36"/>
        </w:rPr>
      </w:pPr>
    </w:p>
    <w:p>
      <w:pPr>
        <w:pStyle w:val="8"/>
        <w:ind w:firstLine="6120" w:firstLineChars="1700"/>
        <w:rPr>
          <w:rFonts w:hint="eastAsia" w:ascii="隶书" w:hAnsi="宋体" w:eastAsia="隶书"/>
          <w:bCs/>
          <w:color w:val="000000"/>
          <w:sz w:val="36"/>
          <w:szCs w:val="36"/>
        </w:rPr>
      </w:pP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6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6"/>
        <w:rFonts w:hint="default"/>
      </w:rPr>
      <w:t>北京国标联合认证有限公司</w:t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</w:p>
  <w:p>
    <w:pPr>
      <w:pStyle w:val="9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-31管理体系审核记录表(03版)</w:t>
                </w:r>
              </w:p>
              <w:p/>
            </w:txbxContent>
          </v:textbox>
        </v:shape>
      </w:pict>
    </w:r>
    <w:r>
      <w:rPr>
        <w:rStyle w:val="16"/>
        <w:rFonts w:hint="default"/>
      </w:rPr>
      <w:t xml:space="preserve">        </w:t>
    </w:r>
    <w:r>
      <w:rPr>
        <w:rStyle w:val="16"/>
        <w:rFonts w:hint="default"/>
        <w:w w:val="90"/>
      </w:rPr>
      <w:t>Beijing International Standard united Certification Co.,Ltd.</w:t>
    </w:r>
    <w:r>
      <w:rPr>
        <w:rStyle w:val="16"/>
        <w:rFonts w:hint="default"/>
        <w:w w:val="90"/>
        <w:szCs w:val="21"/>
      </w:rPr>
      <w:t xml:space="preserve">  </w:t>
    </w:r>
    <w:r>
      <w:rPr>
        <w:rStyle w:val="16"/>
        <w:rFonts w:hint="default"/>
        <w:w w:val="90"/>
        <w:sz w:val="20"/>
      </w:rPr>
      <w:t xml:space="preserve"> </w:t>
    </w:r>
    <w:r>
      <w:rPr>
        <w:rStyle w:val="16"/>
        <w:rFonts w:hint="default"/>
        <w:w w:val="90"/>
      </w:rPr>
      <w:t xml:space="preserve">                   </w:t>
    </w:r>
  </w:p>
  <w:p>
    <w:pPr>
      <w:pStyle w:val="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B39DE"/>
    <w:multiLevelType w:val="singleLevel"/>
    <w:tmpl w:val="2A5B39DE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73B4"/>
    <w:rsid w:val="000237F6"/>
    <w:rsid w:val="0003373A"/>
    <w:rsid w:val="000C6DD5"/>
    <w:rsid w:val="00191322"/>
    <w:rsid w:val="001A2D7F"/>
    <w:rsid w:val="001C5D0F"/>
    <w:rsid w:val="00337922"/>
    <w:rsid w:val="00340867"/>
    <w:rsid w:val="00380837"/>
    <w:rsid w:val="003A198A"/>
    <w:rsid w:val="00410914"/>
    <w:rsid w:val="00536930"/>
    <w:rsid w:val="00545695"/>
    <w:rsid w:val="005524D9"/>
    <w:rsid w:val="00564E53"/>
    <w:rsid w:val="00644FE2"/>
    <w:rsid w:val="0067640C"/>
    <w:rsid w:val="006E678B"/>
    <w:rsid w:val="007757F3"/>
    <w:rsid w:val="007E6AEB"/>
    <w:rsid w:val="008973EE"/>
    <w:rsid w:val="00971600"/>
    <w:rsid w:val="009973B4"/>
    <w:rsid w:val="009A2DE9"/>
    <w:rsid w:val="009C28C1"/>
    <w:rsid w:val="009F7EED"/>
    <w:rsid w:val="00AF0AAB"/>
    <w:rsid w:val="00BF597E"/>
    <w:rsid w:val="00C51A36"/>
    <w:rsid w:val="00C55228"/>
    <w:rsid w:val="00CE315A"/>
    <w:rsid w:val="00D06F59"/>
    <w:rsid w:val="00D8388C"/>
    <w:rsid w:val="00EB0164"/>
    <w:rsid w:val="00ED0F62"/>
    <w:rsid w:val="00FC354E"/>
    <w:rsid w:val="01486283"/>
    <w:rsid w:val="021416D8"/>
    <w:rsid w:val="03DC0FCC"/>
    <w:rsid w:val="04343D46"/>
    <w:rsid w:val="044D4B75"/>
    <w:rsid w:val="045B56B3"/>
    <w:rsid w:val="04BA6B7A"/>
    <w:rsid w:val="05CD7495"/>
    <w:rsid w:val="06433CF5"/>
    <w:rsid w:val="071800C4"/>
    <w:rsid w:val="083C5F43"/>
    <w:rsid w:val="08537734"/>
    <w:rsid w:val="08815A9C"/>
    <w:rsid w:val="08A81132"/>
    <w:rsid w:val="09525E59"/>
    <w:rsid w:val="0A2A7030"/>
    <w:rsid w:val="0AF255BC"/>
    <w:rsid w:val="0BEC1E27"/>
    <w:rsid w:val="0D3A6D3B"/>
    <w:rsid w:val="0D9D1D5C"/>
    <w:rsid w:val="0E897CBB"/>
    <w:rsid w:val="0EC76BFE"/>
    <w:rsid w:val="0ED96BB8"/>
    <w:rsid w:val="0F162D0F"/>
    <w:rsid w:val="108219C2"/>
    <w:rsid w:val="10BD58B0"/>
    <w:rsid w:val="10CC02BD"/>
    <w:rsid w:val="13EF2575"/>
    <w:rsid w:val="1493723D"/>
    <w:rsid w:val="156E2556"/>
    <w:rsid w:val="157849C1"/>
    <w:rsid w:val="15AD0276"/>
    <w:rsid w:val="17A24658"/>
    <w:rsid w:val="17E90890"/>
    <w:rsid w:val="186E7010"/>
    <w:rsid w:val="18833F23"/>
    <w:rsid w:val="19006116"/>
    <w:rsid w:val="192A3AB8"/>
    <w:rsid w:val="19921EE7"/>
    <w:rsid w:val="19E43C24"/>
    <w:rsid w:val="1A2C47DF"/>
    <w:rsid w:val="1A5805CF"/>
    <w:rsid w:val="1B846EE2"/>
    <w:rsid w:val="1BF467A1"/>
    <w:rsid w:val="1C701804"/>
    <w:rsid w:val="1CAE3BF5"/>
    <w:rsid w:val="1CB93E63"/>
    <w:rsid w:val="1D224A40"/>
    <w:rsid w:val="1D553A9B"/>
    <w:rsid w:val="1D557804"/>
    <w:rsid w:val="1DA96624"/>
    <w:rsid w:val="1E030800"/>
    <w:rsid w:val="1E4A1DDF"/>
    <w:rsid w:val="1EA12B27"/>
    <w:rsid w:val="1EBF7DFB"/>
    <w:rsid w:val="1F517785"/>
    <w:rsid w:val="1FCB2501"/>
    <w:rsid w:val="1FD6378B"/>
    <w:rsid w:val="2098573E"/>
    <w:rsid w:val="20DA078C"/>
    <w:rsid w:val="21D85A19"/>
    <w:rsid w:val="235E3FCA"/>
    <w:rsid w:val="246D2075"/>
    <w:rsid w:val="249D1B51"/>
    <w:rsid w:val="24D906CE"/>
    <w:rsid w:val="258C1377"/>
    <w:rsid w:val="25B63D74"/>
    <w:rsid w:val="26EF525E"/>
    <w:rsid w:val="272F0E48"/>
    <w:rsid w:val="27B32443"/>
    <w:rsid w:val="27F35084"/>
    <w:rsid w:val="28191FAD"/>
    <w:rsid w:val="28D83944"/>
    <w:rsid w:val="28FE2F29"/>
    <w:rsid w:val="2AC46F78"/>
    <w:rsid w:val="2AF844C7"/>
    <w:rsid w:val="2B2319C0"/>
    <w:rsid w:val="2C0A2877"/>
    <w:rsid w:val="2C3A2852"/>
    <w:rsid w:val="2D546CAF"/>
    <w:rsid w:val="2D5E512C"/>
    <w:rsid w:val="2DA74856"/>
    <w:rsid w:val="2E5E2D23"/>
    <w:rsid w:val="2F5C7822"/>
    <w:rsid w:val="2FE52113"/>
    <w:rsid w:val="308A61A3"/>
    <w:rsid w:val="31631119"/>
    <w:rsid w:val="330904BA"/>
    <w:rsid w:val="345F4D69"/>
    <w:rsid w:val="34B30427"/>
    <w:rsid w:val="35EB5546"/>
    <w:rsid w:val="379B573F"/>
    <w:rsid w:val="37A51D10"/>
    <w:rsid w:val="3886580A"/>
    <w:rsid w:val="38E16034"/>
    <w:rsid w:val="399F0E61"/>
    <w:rsid w:val="39B0398A"/>
    <w:rsid w:val="3A135DBE"/>
    <w:rsid w:val="3B115DC4"/>
    <w:rsid w:val="3B227900"/>
    <w:rsid w:val="3B914646"/>
    <w:rsid w:val="3DB575F2"/>
    <w:rsid w:val="3FE4412B"/>
    <w:rsid w:val="40134513"/>
    <w:rsid w:val="40C4529F"/>
    <w:rsid w:val="41BF7F6C"/>
    <w:rsid w:val="41F7256E"/>
    <w:rsid w:val="424B7984"/>
    <w:rsid w:val="43613655"/>
    <w:rsid w:val="45256947"/>
    <w:rsid w:val="454511DF"/>
    <w:rsid w:val="458C0DD7"/>
    <w:rsid w:val="46106CF6"/>
    <w:rsid w:val="46C6402F"/>
    <w:rsid w:val="46FC186C"/>
    <w:rsid w:val="48E731AA"/>
    <w:rsid w:val="49046B1C"/>
    <w:rsid w:val="4AF12E50"/>
    <w:rsid w:val="4B8F4629"/>
    <w:rsid w:val="4D034732"/>
    <w:rsid w:val="4D226AAC"/>
    <w:rsid w:val="4DA45115"/>
    <w:rsid w:val="4E5655A5"/>
    <w:rsid w:val="4EA743E6"/>
    <w:rsid w:val="505E674E"/>
    <w:rsid w:val="50D81641"/>
    <w:rsid w:val="50DE4DBD"/>
    <w:rsid w:val="51C3292E"/>
    <w:rsid w:val="51F65C49"/>
    <w:rsid w:val="52A87672"/>
    <w:rsid w:val="52D72799"/>
    <w:rsid w:val="52EA70C8"/>
    <w:rsid w:val="52F26A7F"/>
    <w:rsid w:val="53E4062B"/>
    <w:rsid w:val="54CA19B0"/>
    <w:rsid w:val="554E28FE"/>
    <w:rsid w:val="566C2870"/>
    <w:rsid w:val="57B57DBB"/>
    <w:rsid w:val="58DF190E"/>
    <w:rsid w:val="58F13324"/>
    <w:rsid w:val="59294936"/>
    <w:rsid w:val="59441620"/>
    <w:rsid w:val="5B8E2D5D"/>
    <w:rsid w:val="5C0430D5"/>
    <w:rsid w:val="5CD91574"/>
    <w:rsid w:val="5D0E28AF"/>
    <w:rsid w:val="5E122349"/>
    <w:rsid w:val="5EA12B9A"/>
    <w:rsid w:val="5FD0322B"/>
    <w:rsid w:val="61495338"/>
    <w:rsid w:val="61A11EA0"/>
    <w:rsid w:val="62CB5E8E"/>
    <w:rsid w:val="62F25759"/>
    <w:rsid w:val="63511FA7"/>
    <w:rsid w:val="63663611"/>
    <w:rsid w:val="645158D0"/>
    <w:rsid w:val="6496711E"/>
    <w:rsid w:val="64B47601"/>
    <w:rsid w:val="64B52C73"/>
    <w:rsid w:val="64C75CF6"/>
    <w:rsid w:val="64E67A77"/>
    <w:rsid w:val="65631D09"/>
    <w:rsid w:val="65F3314E"/>
    <w:rsid w:val="6728581E"/>
    <w:rsid w:val="674B7AEA"/>
    <w:rsid w:val="67A07670"/>
    <w:rsid w:val="67B42CBD"/>
    <w:rsid w:val="68056E47"/>
    <w:rsid w:val="68194C3B"/>
    <w:rsid w:val="69372D96"/>
    <w:rsid w:val="69C55CFF"/>
    <w:rsid w:val="6A12542A"/>
    <w:rsid w:val="6B0274C2"/>
    <w:rsid w:val="6C4C3A45"/>
    <w:rsid w:val="6E311877"/>
    <w:rsid w:val="6E336B29"/>
    <w:rsid w:val="6EA2154F"/>
    <w:rsid w:val="6EC03E05"/>
    <w:rsid w:val="6ED45DD7"/>
    <w:rsid w:val="6ED464FA"/>
    <w:rsid w:val="6F4021E5"/>
    <w:rsid w:val="6FD51D0A"/>
    <w:rsid w:val="70E2745F"/>
    <w:rsid w:val="7111286E"/>
    <w:rsid w:val="713E1B08"/>
    <w:rsid w:val="71701991"/>
    <w:rsid w:val="71A150C1"/>
    <w:rsid w:val="72340CB9"/>
    <w:rsid w:val="72DE46DF"/>
    <w:rsid w:val="72F76EC7"/>
    <w:rsid w:val="730846B2"/>
    <w:rsid w:val="7480693E"/>
    <w:rsid w:val="749004D4"/>
    <w:rsid w:val="74983E64"/>
    <w:rsid w:val="761A29D2"/>
    <w:rsid w:val="77107979"/>
    <w:rsid w:val="77144069"/>
    <w:rsid w:val="780B6495"/>
    <w:rsid w:val="7A8D6040"/>
    <w:rsid w:val="7BDD4178"/>
    <w:rsid w:val="7C5A28BF"/>
    <w:rsid w:val="7E42085A"/>
    <w:rsid w:val="7F542F90"/>
    <w:rsid w:val="7FC01F0E"/>
    <w:rsid w:val="7FD919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adjustRightInd w:val="0"/>
      <w:snapToGrid w:val="0"/>
      <w:spacing w:line="400" w:lineRule="atLeast"/>
      <w:ind w:right="48"/>
      <w:jc w:val="center"/>
      <w:textAlignment w:val="baseline"/>
      <w:outlineLvl w:val="1"/>
    </w:pPr>
    <w:rPr>
      <w:rFonts w:ascii="MingLiU" w:eastAsia="MingLiU"/>
      <w:kern w:val="0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4">
    <w:name w:val="Body Text"/>
    <w:basedOn w:val="1"/>
    <w:unhideWhenUsed/>
    <w:qFormat/>
    <w:uiPriority w:val="99"/>
    <w:pPr>
      <w:spacing w:line="420" w:lineRule="exact"/>
    </w:pPr>
    <w:rPr>
      <w:sz w:val="24"/>
    </w:rPr>
  </w:style>
  <w:style w:type="paragraph" w:styleId="5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3">
    <w:name w:val="页眉 Char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1364</Words>
  <Characters>7780</Characters>
  <Lines>64</Lines>
  <Paragraphs>18</Paragraphs>
  <TotalTime>2</TotalTime>
  <ScaleCrop>false</ScaleCrop>
  <LinksUpToDate>false</LinksUpToDate>
  <CharactersWithSpaces>9126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2020-08-09T04:08:11Z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